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4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widowControl w:val="0"/>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Σύνοψη των βασικών σημείων και ευρημάτων καθώς και συστάσεις (policy recommendations) </w:t>
      </w:r>
      <w:r w:rsidDel="00000000" w:rsidR="00000000" w:rsidRPr="00000000">
        <w:rPr>
          <w:rtl w:val="0"/>
        </w:rPr>
      </w:r>
    </w:p>
    <w:p w:rsidR="00000000" w:rsidDel="00000000" w:rsidP="00000000" w:rsidRDefault="00000000" w:rsidRPr="00000000" w14:paraId="00000003">
      <w:pPr>
        <w:widowControl w:val="0"/>
        <w:spacing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Η μελέτη πραγματοποιήθηκε κατά τη διάρκεια του 2019 από το πρόγραμμα Νοτιοανατολικής Ευρώπης του ΕΛΙΑΜΕΠ και το think tank Analytica (Skopje, North Macedonia) και αποτελεί μέρος ενός προγράμματος που χρηματοδοτήθηκε από το υπουργείο των εξωτερικών της Σουηδίας. Ο βασικός σκοπός της είναι να προσφέρει μια συστηματική καταγραφή και ανάλυση του ισχύοντος πλαισίου συνεργασίας μεταξύ Ελλάδας και Βόρειας Μακεδονίας στους τομείς της εκπαίδευσης, της έρευνας, του πολιτισμού και της κοινωνίας των πολιτών. Για την ανάλυση αυτού του ζητήματος και την εξαγωγή συμπερασμάτων πραγματοποιήθηκαν 36 συνεντεύξεις με φορείς συναφείς με τους τρεις αυτούς τομείς στις δύο χώρες.  </w:t>
      </w:r>
      <w:r w:rsidDel="00000000" w:rsidR="00000000" w:rsidRPr="00000000">
        <w:rPr>
          <w:rtl w:val="0"/>
        </w:rPr>
      </w:r>
    </w:p>
    <w:p w:rsidR="00000000" w:rsidDel="00000000" w:rsidP="00000000" w:rsidRDefault="00000000" w:rsidRPr="00000000" w14:paraId="00000004">
      <w:pPr>
        <w:widowControl w:val="0"/>
        <w:spacing w:before="240" w:line="36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i w:val="1"/>
          <w:sz w:val="24"/>
          <w:szCs w:val="24"/>
          <w:rtl w:val="0"/>
        </w:rPr>
        <w:t xml:space="preserve">Βασικά ευρήματα που προκύπτουν από την ανάλυση των συνεντεύξεων με τους σχετικούς φορείς</w:t>
      </w:r>
      <w:r w:rsidDel="00000000" w:rsidR="00000000" w:rsidRPr="00000000">
        <w:rPr>
          <w:rtl w:val="0"/>
        </w:rPr>
      </w:r>
    </w:p>
    <w:p w:rsidR="00000000" w:rsidDel="00000000" w:rsidP="00000000" w:rsidRDefault="00000000" w:rsidRPr="00000000" w14:paraId="00000005">
      <w:pPr>
        <w:widowControl w:val="0"/>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Περιεχόμενο και πλαίσιο συνεργασίας:</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Στον τομέα της κοινωνίας των πολιτών/ ΜΚΟ νεολαίας η βασική μορφή συνεργασίας υπήρξε η συμμετοχή σε προγράμματα για την κινητικότητα των νέων χρηματοδοτούμενα από την Ε.Ε. (πολυμερές πλαίσιο). Στον τομέα του πολιτισμού βασικές μορφές συνεργασίας υπήρξαν η διοργάνωση φεστιβάλ, εκθέσεων καθώς και άλλες ανταλλαγές (απευθείας συνεργασία μεταξύ των δύο κρατών: διμερές πλαίσιο). Στον τομέα της εκπαίδευσης/ έρευνας, οι μορφές συνεργασίας υπήρξαν η συμμετοχή σε προγράμματα χρηματοδοτούμενα από την Ε.Ε. (πολυμερές πλαίσιο), καθώς και η υπογραφή Μνημονίων συνεργασίας μεταξύ Πανεπιστημίων που προβλέπουν την κινητικότητα σε επίπεδο σπουδαστών αλλά και ακαδημαϊκού προσωπικού, την από κοινού υλοποίηση ερευνητικών προγραμμάτων, τη διοργάνωση συνεδρίων καθώς και τη συνεργασία σε επίπεδο βιβλιοθηκών (απευθείας συνεργασία μεταξύ των δύο κρατών: διμερές πλαίσιο).</w:t>
      </w:r>
    </w:p>
    <w:p w:rsidR="00000000" w:rsidDel="00000000" w:rsidP="00000000" w:rsidRDefault="00000000" w:rsidRPr="00000000" w14:paraId="00000006">
      <w:pPr>
        <w:widowControl w:val="0"/>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Και στους τρεις τομείς παρατηρείται ένα μεγάλο έλλειμμα διμερούς συνεργασίας. Στον τομέα του πολιτισμού τα παραδείγματα συνεργασίας είναι λίγα και βασίστηκαν στις προσωπικές επαφές ενώ στην εκπαίδευση/ έρευνα η υλοποίηση των Μνημονίων συνεργασίας αναμένεται να ξεκινήσει στο προσεχές διάστημα. Αντίθετα, η συνεργασία στο πολυμερές πλαίσιο (Ε.Ε.) υπήρξε πιο συχνή.   </w:t>
      </w:r>
    </w:p>
    <w:p w:rsidR="00000000" w:rsidDel="00000000" w:rsidP="00000000" w:rsidRDefault="00000000" w:rsidRPr="00000000" w14:paraId="00000007">
      <w:pPr>
        <w:widowControl w:val="0"/>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Αξιολόγηση:</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Και στους τρεις τομείς, η εμπειρία της συνεργασίας αξιολογήθηκε ιδιαίτερα θετικά. Ωστόσο, οι φορείς σημειώνουν πως υπάρχει ένα τεράστιο δυναμικό για την εμβάθυνση της συνεργασίας.</w:t>
      </w:r>
    </w:p>
    <w:p w:rsidR="00000000" w:rsidDel="00000000" w:rsidP="00000000" w:rsidRDefault="00000000" w:rsidRPr="00000000" w14:paraId="00000008">
      <w:pPr>
        <w:widowControl w:val="0"/>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Αποτίμηση του αντίκτυπου της Συμφωνίας των Πρεσπών στη συνεργασία:</w:t>
      </w:r>
      <w:r w:rsidDel="00000000" w:rsidR="00000000" w:rsidRPr="00000000">
        <w:rPr>
          <w:rFonts w:ascii="Times New Roman" w:cs="Times New Roman" w:eastAsia="Times New Roman" w:hAnsi="Times New Roman"/>
          <w:sz w:val="24"/>
          <w:szCs w:val="24"/>
          <w:rtl w:val="0"/>
        </w:rPr>
        <w:t xml:space="preserve">  Πολλοί φορείς θεωρούν πως το αντίκτυπο της Συμφωνίας των Πρεσπών στη συνεργασία μεταξύ των δύο χωρών μπορεί να είναι θετικό. Ωστόσο, αρκετοί από αυτούς σημείωσαν πως μια σειρά από προϋποθέσεις θα παίξουν καθοριστικό ρόλο όπως, για παράδειγμα, η στήριξη αλλά και χρηματοδότηση σε κυβερνητικό επίπεδο, η έμφαση στο διμερές πλαίσιο συνεργασίας καθώς και το ευνοϊκό πολιτικό κλίμα. </w:t>
      </w:r>
    </w:p>
    <w:p w:rsidR="00000000" w:rsidDel="00000000" w:rsidP="00000000" w:rsidRDefault="00000000" w:rsidRPr="00000000" w14:paraId="00000009">
      <w:pPr>
        <w:widowControl w:val="0"/>
        <w:spacing w:before="240" w:line="36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Εμπόδια και προκλήσεις</w:t>
      </w:r>
      <w:r w:rsidDel="00000000" w:rsidR="00000000" w:rsidRPr="00000000">
        <w:rPr>
          <w:rFonts w:ascii="Times New Roman" w:cs="Times New Roman" w:eastAsia="Times New Roman" w:hAnsi="Times New Roman"/>
          <w:sz w:val="24"/>
          <w:szCs w:val="24"/>
          <w:rtl w:val="0"/>
        </w:rPr>
        <w:t xml:space="preserve">: Αρκετοί από τους φορείς δεν αναφέρθηκαν σε κάποιο συγκεκριμένο εμπόδιο σε ότι αφορά την περαιτέρω ανάπτυξη της συνεργασίας. Άλλοι αναφέρθηκαν σε παράγοντες όπως οι αρνητικές αντιδράσεις στη Συμφωνία των Πρεσπών. Πολλοί φορείς, ιδιαίτερα από την Ελλάδα, θεωρούν πως οποιαδήποτε περαιτέρω καθυστέρηση στην ενταξιακή πορεία της Βόρειας Μακεδονίας θα επηρεάσει αρνητικά τη συνεργασία. </w:t>
      </w:r>
      <w:r w:rsidDel="00000000" w:rsidR="00000000" w:rsidRPr="00000000">
        <w:rPr>
          <w:rtl w:val="0"/>
        </w:rPr>
      </w:r>
    </w:p>
    <w:p w:rsidR="00000000" w:rsidDel="00000000" w:rsidP="00000000" w:rsidRDefault="00000000" w:rsidRPr="00000000" w14:paraId="0000000A">
      <w:pPr>
        <w:widowControl w:val="0"/>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Τα χαρακτηριστικά ενός νέου πλαισίου συνεργασίας- Η Συμφωνία των Πρεσπών και  προοπτική της στρατηγικής συνεργασίας </w:t>
      </w:r>
      <w:r w:rsidDel="00000000" w:rsidR="00000000" w:rsidRPr="00000000">
        <w:rPr>
          <w:rtl w:val="0"/>
        </w:rPr>
      </w:r>
    </w:p>
    <w:p w:rsidR="00000000" w:rsidDel="00000000" w:rsidP="00000000" w:rsidRDefault="00000000" w:rsidRPr="00000000" w14:paraId="0000000B">
      <w:pPr>
        <w:widowControl w:val="0"/>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Με βάση την ανάλυση των ευρημάτων από τις συνεντεύξεις, η έρευνα προτείνει τις εξής διαπιστώσεις σε σχέση με τα χαρακτηριστικά του ισχύοντος πλαισίου συνεργασίας ανάμεσα στις δύο χώρες: </w:t>
      </w:r>
    </w:p>
    <w:p w:rsidR="00000000" w:rsidDel="00000000" w:rsidP="00000000" w:rsidRDefault="00000000" w:rsidRPr="00000000" w14:paraId="0000000C">
      <w:pPr>
        <w:widowControl w:val="0"/>
        <w:numPr>
          <w:ilvl w:val="0"/>
          <w:numId w:val="1"/>
        </w:numPr>
        <w:spacing w:line="36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Η συνεργασία ανάμεσα στις δύο χώρες τείνει να αποκτήσει έμφαση στην υλοποίηση κοινών στόχων, ξεφεύγοντας από το περιορισμένο πλαίσιο της διασυνοριακής συνεργασίας. </w:t>
      </w:r>
    </w:p>
    <w:p w:rsidR="00000000" w:rsidDel="00000000" w:rsidP="00000000" w:rsidRDefault="00000000" w:rsidRPr="00000000" w14:paraId="0000000D">
      <w:pPr>
        <w:widowControl w:val="0"/>
        <w:numPr>
          <w:ilvl w:val="0"/>
          <w:numId w:val="1"/>
        </w:numPr>
        <w:spacing w:line="36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Ωστόσο, η συνεργασία εμφανίζεται ακόμα να περιορίζεται στο πολυμερές πλαίσιο και πολύ πιο σπάνια στο διμερές.</w:t>
      </w:r>
    </w:p>
    <w:p w:rsidR="00000000" w:rsidDel="00000000" w:rsidP="00000000" w:rsidRDefault="00000000" w:rsidRPr="00000000" w14:paraId="0000000E">
      <w:pPr>
        <w:widowControl w:val="0"/>
        <w:numPr>
          <w:ilvl w:val="0"/>
          <w:numId w:val="1"/>
        </w:numPr>
        <w:spacing w:line="36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Υπάρχει πλέον η επιθυμία για συνεργασία αλλά και η κατανόηση πως η συνεργασία είναι ωφέλιμη για όλους.</w:t>
      </w:r>
    </w:p>
    <w:p w:rsidR="00000000" w:rsidDel="00000000" w:rsidP="00000000" w:rsidRDefault="00000000" w:rsidRPr="00000000" w14:paraId="0000000F">
      <w:pPr>
        <w:widowControl w:val="0"/>
        <w:numPr>
          <w:ilvl w:val="0"/>
          <w:numId w:val="1"/>
        </w:numPr>
        <w:spacing w:line="360" w:lineRule="auto"/>
        <w:ind w:left="720" w:hanging="360"/>
        <w:jc w:val="both"/>
        <w:rPr>
          <w:b w:val="1"/>
          <w:sz w:val="24"/>
          <w:szCs w:val="24"/>
        </w:rPr>
      </w:pPr>
      <w:r w:rsidDel="00000000" w:rsidR="00000000" w:rsidRPr="00000000">
        <w:rPr>
          <w:rFonts w:ascii="Times New Roman" w:cs="Times New Roman" w:eastAsia="Times New Roman" w:hAnsi="Times New Roman"/>
          <w:sz w:val="24"/>
          <w:szCs w:val="24"/>
          <w:rtl w:val="0"/>
        </w:rPr>
        <w:t xml:space="preserve">Είναι σημαντική η ανάγκη για τη διαμόρφωση ενός λειτουργικού διμερούς πλαισίου συνεργασίας.</w:t>
      </w:r>
      <w:r w:rsidDel="00000000" w:rsidR="00000000" w:rsidRPr="00000000">
        <w:rPr>
          <w:rtl w:val="0"/>
        </w:rPr>
      </w:r>
    </w:p>
    <w:p w:rsidR="00000000" w:rsidDel="00000000" w:rsidP="00000000" w:rsidRDefault="00000000" w:rsidRPr="00000000" w14:paraId="00000010">
      <w:pPr>
        <w:widowControl w:val="0"/>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Οι βασικοί πυλώνες ενός λειτουργικού διμερούς πλαισίου συνεργασίας</w:t>
      </w:r>
      <w:r w:rsidDel="00000000" w:rsidR="00000000" w:rsidRPr="00000000">
        <w:rPr>
          <w:rtl w:val="0"/>
        </w:rPr>
      </w:r>
    </w:p>
    <w:p w:rsidR="00000000" w:rsidDel="00000000" w:rsidP="00000000" w:rsidRDefault="00000000" w:rsidRPr="00000000" w14:paraId="00000011">
      <w:pPr>
        <w:widowControl w:val="0"/>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μελέτη καταλήγει σε μια σειρά συμπερασμάτων για τα χαρακτηριστικά ενός λειτουργικού πλαισίου συνεργασίας ανάμεσα στις δύο χώρες: </w:t>
      </w:r>
    </w:p>
    <w:p w:rsidR="00000000" w:rsidDel="00000000" w:rsidP="00000000" w:rsidRDefault="00000000" w:rsidRPr="00000000" w14:paraId="00000012">
      <w:pPr>
        <w:widowControl w:val="0"/>
        <w:numPr>
          <w:ilvl w:val="0"/>
          <w:numId w:val="2"/>
        </w:numPr>
        <w:spacing w:before="240" w:line="360" w:lineRule="auto"/>
        <w:ind w:left="72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Πολιτική στήριξη</w:t>
      </w:r>
      <w:r w:rsidDel="00000000" w:rsidR="00000000" w:rsidRPr="00000000">
        <w:rPr>
          <w:rFonts w:ascii="Times New Roman" w:cs="Times New Roman" w:eastAsia="Times New Roman" w:hAnsi="Times New Roman"/>
          <w:sz w:val="24"/>
          <w:szCs w:val="24"/>
          <w:rtl w:val="0"/>
        </w:rPr>
        <w:t xml:space="preserve">: είναι αναγκαία μια δομημένη προσέγγιση στη συνεργασία στους τομείς της εκπαίδευσης και έρευνας, πολιτισμού και της κοινωνίας των πολιτών που θα υποστηρίζεται από τις κυβερνήσεις των δύο κρατών.</w:t>
      </w:r>
    </w:p>
    <w:p w:rsidR="00000000" w:rsidDel="00000000" w:rsidP="00000000" w:rsidRDefault="00000000" w:rsidRPr="00000000" w14:paraId="00000013">
      <w:pPr>
        <w:widowControl w:val="0"/>
        <w:numPr>
          <w:ilvl w:val="0"/>
          <w:numId w:val="2"/>
        </w:numPr>
        <w:spacing w:line="360" w:lineRule="auto"/>
        <w:ind w:left="72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Έμφαση στη συνεργασία και στο διάλογο</w:t>
      </w:r>
      <w:r w:rsidDel="00000000" w:rsidR="00000000" w:rsidRPr="00000000">
        <w:rPr>
          <w:rFonts w:ascii="Times New Roman" w:cs="Times New Roman" w:eastAsia="Times New Roman" w:hAnsi="Times New Roman"/>
          <w:sz w:val="24"/>
          <w:szCs w:val="24"/>
          <w:rtl w:val="0"/>
        </w:rPr>
        <w:t xml:space="preserve"> σε επίπεδο κοινωνίας πολιτών: για την καλύτερη ανάπτυξη της συνεργασίας και της συνέργειας μεταξύ των δύο χωρών πρέπει να αναπτυχθούν δίκτυα συνεργασίας ανάμεσα σε φορείς της εκπαίδευσης, της κοινωνίας πολιτών και του πολιτισμού. </w:t>
      </w:r>
    </w:p>
    <w:p w:rsidR="00000000" w:rsidDel="00000000" w:rsidP="00000000" w:rsidRDefault="00000000" w:rsidRPr="00000000" w14:paraId="00000014">
      <w:pPr>
        <w:widowControl w:val="0"/>
        <w:numPr>
          <w:ilvl w:val="0"/>
          <w:numId w:val="2"/>
        </w:numPr>
        <w:spacing w:line="36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Θα πρέπει η συνεργασία που θα εδράζεται σε </w:t>
      </w:r>
      <w:r w:rsidDel="00000000" w:rsidR="00000000" w:rsidRPr="00000000">
        <w:rPr>
          <w:rFonts w:ascii="Times New Roman" w:cs="Times New Roman" w:eastAsia="Times New Roman" w:hAnsi="Times New Roman"/>
          <w:b w:val="1"/>
          <w:sz w:val="24"/>
          <w:szCs w:val="24"/>
          <w:rtl w:val="0"/>
        </w:rPr>
        <w:t xml:space="preserve">ευρωπαϊκές αξίες </w:t>
      </w:r>
      <w:r w:rsidDel="00000000" w:rsidR="00000000" w:rsidRPr="00000000">
        <w:rPr>
          <w:rFonts w:ascii="Times New Roman" w:cs="Times New Roman" w:eastAsia="Times New Roman" w:hAnsi="Times New Roman"/>
          <w:sz w:val="24"/>
          <w:szCs w:val="24"/>
          <w:rtl w:val="0"/>
        </w:rPr>
        <w:t xml:space="preserve">και αρχές και τις πολιτικές που προωθεί η Ε.Ε.</w:t>
      </w:r>
    </w:p>
    <w:p w:rsidR="00000000" w:rsidDel="00000000" w:rsidP="00000000" w:rsidRDefault="00000000" w:rsidRPr="00000000" w14:paraId="00000015">
      <w:pPr>
        <w:widowControl w:val="0"/>
        <w:numPr>
          <w:ilvl w:val="0"/>
          <w:numId w:val="2"/>
        </w:numPr>
        <w:spacing w:line="36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Θα πρέπει η συνεργασία να αναπτυχθεί με έμφαση στην </w:t>
      </w:r>
      <w:r w:rsidDel="00000000" w:rsidR="00000000" w:rsidRPr="00000000">
        <w:rPr>
          <w:rFonts w:ascii="Times New Roman" w:cs="Times New Roman" w:eastAsia="Times New Roman" w:hAnsi="Times New Roman"/>
          <w:b w:val="1"/>
          <w:sz w:val="24"/>
          <w:szCs w:val="24"/>
          <w:rtl w:val="0"/>
        </w:rPr>
        <w:t xml:space="preserve">αντιμετώπιση πραγματικών προβλημάτων</w:t>
      </w:r>
      <w:r w:rsidDel="00000000" w:rsidR="00000000" w:rsidRPr="00000000">
        <w:rPr>
          <w:rFonts w:ascii="Times New Roman" w:cs="Times New Roman" w:eastAsia="Times New Roman" w:hAnsi="Times New Roman"/>
          <w:sz w:val="24"/>
          <w:szCs w:val="24"/>
          <w:rtl w:val="0"/>
        </w:rPr>
        <w:t xml:space="preserve"> που απασχολούν τις δύο χώρες ακόμα και σε τοπικό επίπεδο. </w:t>
      </w:r>
    </w:p>
    <w:p w:rsidR="00000000" w:rsidDel="00000000" w:rsidP="00000000" w:rsidRDefault="00000000" w:rsidRPr="00000000" w14:paraId="00000016">
      <w:pPr>
        <w:widowControl w:val="0"/>
        <w:numPr>
          <w:ilvl w:val="0"/>
          <w:numId w:val="2"/>
        </w:numPr>
        <w:spacing w:line="36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Είναι σημαντικό να υπάρχει </w:t>
      </w:r>
      <w:r w:rsidDel="00000000" w:rsidR="00000000" w:rsidRPr="00000000">
        <w:rPr>
          <w:rFonts w:ascii="Times New Roman" w:cs="Times New Roman" w:eastAsia="Times New Roman" w:hAnsi="Times New Roman"/>
          <w:b w:val="1"/>
          <w:sz w:val="24"/>
          <w:szCs w:val="24"/>
          <w:rtl w:val="0"/>
        </w:rPr>
        <w:t xml:space="preserve">ανταλλαγή γνώσεων</w:t>
      </w:r>
      <w:r w:rsidDel="00000000" w:rsidR="00000000" w:rsidRPr="00000000">
        <w:rPr>
          <w:rFonts w:ascii="Times New Roman" w:cs="Times New Roman" w:eastAsia="Times New Roman" w:hAnsi="Times New Roman"/>
          <w:sz w:val="24"/>
          <w:szCs w:val="24"/>
          <w:rtl w:val="0"/>
        </w:rPr>
        <w:t xml:space="preserve"> και καλύτερη γνωριμία ανάμεσα στους φορείς και ιδιαίτερα μεταφορά γνώσεων και τεχνογνωσίας από φορείς της Ελλάδας που έχουν μεγαλύτερη εμπειρία σε μια σειρά από τομείς. </w:t>
      </w:r>
    </w:p>
    <w:p w:rsidR="00000000" w:rsidDel="00000000" w:rsidP="00000000" w:rsidRDefault="00000000" w:rsidRPr="00000000" w14:paraId="00000017">
      <w:pPr>
        <w:widowControl w:val="0"/>
        <w:numPr>
          <w:ilvl w:val="0"/>
          <w:numId w:val="2"/>
        </w:numPr>
        <w:spacing w:line="360" w:lineRule="auto"/>
        <w:ind w:left="720" w:hanging="360"/>
        <w:jc w:val="both"/>
        <w:rPr>
          <w:b w:val="1"/>
          <w:sz w:val="24"/>
          <w:szCs w:val="24"/>
        </w:rPr>
      </w:pPr>
      <w:r w:rsidDel="00000000" w:rsidR="00000000" w:rsidRPr="00000000">
        <w:rPr>
          <w:rFonts w:ascii="Times New Roman" w:cs="Times New Roman" w:eastAsia="Times New Roman" w:hAnsi="Times New Roman"/>
          <w:sz w:val="24"/>
          <w:szCs w:val="24"/>
          <w:rtl w:val="0"/>
        </w:rPr>
        <w:t xml:space="preserve">Τα δύο κράτη θα πρέπει να ενισχύσουν την συνεργασία τους και μέσα από την </w:t>
      </w:r>
      <w:r w:rsidDel="00000000" w:rsidR="00000000" w:rsidRPr="00000000">
        <w:rPr>
          <w:rFonts w:ascii="Times New Roman" w:cs="Times New Roman" w:eastAsia="Times New Roman" w:hAnsi="Times New Roman"/>
          <w:b w:val="1"/>
          <w:sz w:val="24"/>
          <w:szCs w:val="24"/>
          <w:rtl w:val="0"/>
        </w:rPr>
        <w:t xml:space="preserve">δημιουργία θεσμών </w:t>
      </w:r>
      <w:r w:rsidDel="00000000" w:rsidR="00000000" w:rsidRPr="00000000">
        <w:rPr>
          <w:rFonts w:ascii="Times New Roman" w:cs="Times New Roman" w:eastAsia="Times New Roman" w:hAnsi="Times New Roman"/>
          <w:sz w:val="24"/>
          <w:szCs w:val="24"/>
          <w:rtl w:val="0"/>
        </w:rPr>
        <w:t xml:space="preserve">όπως ενός “Οργανισμού/Ταμείου για τη νεολαία (Ελλάδα- Βόρεια Μακεδονία)” ή ενός “Οργανισμού/ Ταμείου” με βάση τη Συμφωνίας των Πρεσπών”.</w:t>
      </w:r>
      <w:r w:rsidDel="00000000" w:rsidR="00000000" w:rsidRPr="00000000">
        <w:rPr>
          <w:rtl w:val="0"/>
        </w:rPr>
      </w:r>
    </w:p>
    <w:p w:rsidR="00000000" w:rsidDel="00000000" w:rsidP="00000000" w:rsidRDefault="00000000" w:rsidRPr="00000000" w14:paraId="00000018">
      <w:pPr>
        <w:widowControl w:val="0"/>
        <w:spacing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Προτάσεις πολιτικής (policy recommendations)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9">
      <w:pPr>
        <w:widowControl w:val="0"/>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Προτάσεις προς τις κυβερνήσεις της Ελλάδας και της Βόρειας Μακεδονίας</w:t>
      </w:r>
      <w:r w:rsidDel="00000000" w:rsidR="00000000" w:rsidRPr="00000000">
        <w:rPr>
          <w:rtl w:val="0"/>
        </w:rPr>
      </w:r>
    </w:p>
    <w:p w:rsidR="00000000" w:rsidDel="00000000" w:rsidP="00000000" w:rsidRDefault="00000000" w:rsidRPr="00000000" w14:paraId="0000001A">
      <w:pPr>
        <w:widowControl w:val="0"/>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Είναι απαραίτητο η </w:t>
      </w:r>
      <w:r w:rsidDel="00000000" w:rsidR="00000000" w:rsidRPr="00000000">
        <w:rPr>
          <w:rFonts w:ascii="Times New Roman" w:cs="Times New Roman" w:eastAsia="Times New Roman" w:hAnsi="Times New Roman"/>
          <w:b w:val="1"/>
          <w:sz w:val="24"/>
          <w:szCs w:val="24"/>
          <w:rtl w:val="0"/>
        </w:rPr>
        <w:t xml:space="preserve">εφαρμογή της Συμφωνίας των Πρεσπών</w:t>
      </w:r>
      <w:r w:rsidDel="00000000" w:rsidR="00000000" w:rsidRPr="00000000">
        <w:rPr>
          <w:rFonts w:ascii="Times New Roman" w:cs="Times New Roman" w:eastAsia="Times New Roman" w:hAnsi="Times New Roman"/>
          <w:sz w:val="24"/>
          <w:szCs w:val="24"/>
          <w:rtl w:val="0"/>
        </w:rPr>
        <w:t xml:space="preserve"> να συνεχιστεί χωρίς καθυστερήσεις.</w:t>
      </w:r>
    </w:p>
    <w:p w:rsidR="00000000" w:rsidDel="00000000" w:rsidP="00000000" w:rsidRDefault="00000000" w:rsidRPr="00000000" w14:paraId="0000001B">
      <w:pPr>
        <w:widowControl w:val="0"/>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Οι κυβερνήσεις των δύο χωρών θα πρέπει να προσανατολιστούν στη </w:t>
      </w:r>
      <w:r w:rsidDel="00000000" w:rsidR="00000000" w:rsidRPr="00000000">
        <w:rPr>
          <w:rFonts w:ascii="Times New Roman" w:cs="Times New Roman" w:eastAsia="Times New Roman" w:hAnsi="Times New Roman"/>
          <w:b w:val="1"/>
          <w:sz w:val="24"/>
          <w:szCs w:val="24"/>
          <w:rtl w:val="0"/>
        </w:rPr>
        <w:t xml:space="preserve">δημιουργία ενός Οργανισμού ή Ταμείου που μπορεί να δίνει ιδιαίτερη έμφαση στη νεολαία</w:t>
      </w:r>
      <w:r w:rsidDel="00000000" w:rsidR="00000000" w:rsidRPr="00000000">
        <w:rPr>
          <w:rFonts w:ascii="Times New Roman" w:cs="Times New Roman" w:eastAsia="Times New Roman" w:hAnsi="Times New Roman"/>
          <w:sz w:val="24"/>
          <w:szCs w:val="24"/>
          <w:rtl w:val="0"/>
        </w:rPr>
        <w:t xml:space="preserve"> (Prespa Fund and/or Greece- North Macedonia Youth Office). Ο φορέας αυτός θα έχει ως αντικείμενο τη συνεργασία ανάμεσα σε Ελλάδα και Βόρεια Μακεδονία, όπως συμφωνήθηκε και στο Σχέδιο Δράσης (Action Plan) της 2 Απριλίου 2019.   </w:t>
      </w:r>
    </w:p>
    <w:p w:rsidR="00000000" w:rsidDel="00000000" w:rsidP="00000000" w:rsidRDefault="00000000" w:rsidRPr="00000000" w14:paraId="0000001C">
      <w:pPr>
        <w:widowControl w:val="0"/>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Οι δύο κυβερνήσεις πρέπει να συνεχίσουν να δίνουν </w:t>
      </w:r>
      <w:r w:rsidDel="00000000" w:rsidR="00000000" w:rsidRPr="00000000">
        <w:rPr>
          <w:rFonts w:ascii="Times New Roman" w:cs="Times New Roman" w:eastAsia="Times New Roman" w:hAnsi="Times New Roman"/>
          <w:b w:val="1"/>
          <w:sz w:val="24"/>
          <w:szCs w:val="24"/>
          <w:rtl w:val="0"/>
        </w:rPr>
        <w:t xml:space="preserve">έμφαση στη βελτίωση των διασυνοριακών υποδομών</w:t>
      </w:r>
      <w:r w:rsidDel="00000000" w:rsidR="00000000" w:rsidRPr="00000000">
        <w:rPr>
          <w:rFonts w:ascii="Times New Roman" w:cs="Times New Roman" w:eastAsia="Times New Roman" w:hAnsi="Times New Roman"/>
          <w:sz w:val="24"/>
          <w:szCs w:val="24"/>
          <w:rtl w:val="0"/>
        </w:rPr>
        <w:t xml:space="preserve"> και συγκεκριμένα στους αυτοκινητόδρομους, το δίκτυο των σιδηροδρόμων και στις εναέριες μεταφορές.</w:t>
      </w:r>
    </w:p>
    <w:p w:rsidR="00000000" w:rsidDel="00000000" w:rsidP="00000000" w:rsidRDefault="00000000" w:rsidRPr="00000000" w14:paraId="0000001D">
      <w:pPr>
        <w:widowControl w:val="0"/>
        <w:spacing w:before="240" w:line="360" w:lineRule="auto"/>
        <w:jc w:val="both"/>
        <w:rPr/>
      </w:pPr>
      <w:r w:rsidDel="00000000" w:rsidR="00000000" w:rsidRPr="00000000">
        <w:rPr>
          <w:rFonts w:ascii="Times New Roman" w:cs="Times New Roman" w:eastAsia="Times New Roman" w:hAnsi="Times New Roman"/>
          <w:sz w:val="24"/>
          <w:szCs w:val="24"/>
          <w:rtl w:val="0"/>
        </w:rPr>
        <w:t xml:space="preserve">4. Οι κυβερνήσεις Ελλάδας και Βόρειας Μακεδονίας πρέπει να ενθαρρύνουν τους φορείς περιφερειακής και τοπικής αυτοδιοίκησης να </w:t>
      </w:r>
      <w:r w:rsidDel="00000000" w:rsidR="00000000" w:rsidRPr="00000000">
        <w:rPr>
          <w:rFonts w:ascii="Times New Roman" w:cs="Times New Roman" w:eastAsia="Times New Roman" w:hAnsi="Times New Roman"/>
          <w:b w:val="1"/>
          <w:sz w:val="24"/>
          <w:szCs w:val="24"/>
          <w:rtl w:val="0"/>
        </w:rPr>
        <w:t xml:space="preserve">εμβαθύνουν τη συνεργασίας μέσω πρωτοβουλιών “αδελφοποίησης” </w:t>
      </w:r>
      <w:r w:rsidDel="00000000" w:rsidR="00000000" w:rsidRPr="00000000">
        <w:rPr>
          <w:rFonts w:ascii="Times New Roman" w:cs="Times New Roman" w:eastAsia="Times New Roman" w:hAnsi="Times New Roman"/>
          <w:sz w:val="24"/>
          <w:szCs w:val="24"/>
          <w:rtl w:val="0"/>
        </w:rPr>
        <w:t xml:space="preserve">(twinning) πόλεων, φορέων, επαγγελματικών οργανώσεων κλπ.</w:t>
      </w:r>
      <w:r w:rsidDel="00000000" w:rsidR="00000000" w:rsidRPr="00000000">
        <w:rPr>
          <w:rtl w:val="0"/>
        </w:rPr>
      </w:r>
    </w:p>
    <w:p w:rsidR="00000000" w:rsidDel="00000000" w:rsidP="00000000" w:rsidRDefault="00000000" w:rsidRPr="00000000" w14:paraId="0000001E">
      <w:pPr>
        <w:widowControl w:val="0"/>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Προτάσεις προς την Ευρωπαϊκή Επιτροπή</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1F">
      <w:pPr>
        <w:widowControl w:val="0"/>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Οποιαδήποτε καθυστέρηση στην έναρξη ενταξιακών διαπραγματεύσεων για τη Βόρεια Μακεδονία θα δυσχεράνει τη συνεργασία μεταξύ των δύο χωρών. Ο</w:t>
      </w:r>
      <w:r w:rsidDel="00000000" w:rsidR="00000000" w:rsidRPr="00000000">
        <w:rPr>
          <w:rFonts w:ascii="Times New Roman" w:cs="Times New Roman" w:eastAsia="Times New Roman" w:hAnsi="Times New Roman"/>
          <w:b w:val="1"/>
          <w:sz w:val="24"/>
          <w:szCs w:val="24"/>
          <w:rtl w:val="0"/>
        </w:rPr>
        <w:t xml:space="preserve">ι ενταξιακές διαπραγματεύσεις της Βόρειας Μακεδονίας πρέπει να ξεκινήσουν το συντομότερο δυνατό</w:t>
      </w:r>
      <w:r w:rsidDel="00000000" w:rsidR="00000000" w:rsidRPr="00000000">
        <w:rPr>
          <w:rFonts w:ascii="Times New Roman" w:cs="Times New Roman" w:eastAsia="Times New Roman" w:hAnsi="Times New Roman"/>
          <w:sz w:val="24"/>
          <w:szCs w:val="24"/>
          <w:rtl w:val="0"/>
        </w:rPr>
        <w:t xml:space="preserve"> ώστε να διατηρηθούν οι ευνοϊκές προϋποθέσεις μετά τη Συμφωνία των Πρεσπών.</w:t>
      </w:r>
    </w:p>
    <w:p w:rsidR="00000000" w:rsidDel="00000000" w:rsidP="00000000" w:rsidRDefault="00000000" w:rsidRPr="00000000" w14:paraId="00000020">
      <w:pPr>
        <w:widowControl w:val="0"/>
        <w:spacing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 Η Ευρωπαϊκή Επιτροπή θα πρέπει να σκεφτεί την </w:t>
      </w:r>
      <w:r w:rsidDel="00000000" w:rsidR="00000000" w:rsidRPr="00000000">
        <w:rPr>
          <w:rFonts w:ascii="Times New Roman" w:cs="Times New Roman" w:eastAsia="Times New Roman" w:hAnsi="Times New Roman"/>
          <w:b w:val="1"/>
          <w:sz w:val="24"/>
          <w:szCs w:val="24"/>
          <w:rtl w:val="0"/>
        </w:rPr>
        <w:t xml:space="preserve">αύξηση των πόρων και χρηματοδοτικών προγραμμάτων που προορίζονται στη διασυνοριακή συνεργασία μεταξύ των δύο χωρών</w:t>
      </w:r>
      <w:r w:rsidDel="00000000" w:rsidR="00000000" w:rsidRPr="00000000">
        <w:rPr>
          <w:rFonts w:ascii="Times New Roman" w:cs="Times New Roman" w:eastAsia="Times New Roman" w:hAnsi="Times New Roman"/>
          <w:sz w:val="24"/>
          <w:szCs w:val="24"/>
          <w:rtl w:val="0"/>
        </w:rPr>
        <w:t xml:space="preserve">. Η Επιτροπή θα πρέπει, επίσης, να στοχεύσει  στην </w:t>
      </w:r>
      <w:r w:rsidDel="00000000" w:rsidR="00000000" w:rsidRPr="00000000">
        <w:rPr>
          <w:rFonts w:ascii="Times New Roman" w:cs="Times New Roman" w:eastAsia="Times New Roman" w:hAnsi="Times New Roman"/>
          <w:b w:val="1"/>
          <w:sz w:val="24"/>
          <w:szCs w:val="24"/>
          <w:rtl w:val="0"/>
        </w:rPr>
        <w:t xml:space="preserve">προσαρμογή και αντιστοίχιση των σχετικών προϋπολογισμών με τους στόχους της θετικής ατζέντας της Συμφωνίας των Πρεσπών.</w:t>
      </w:r>
    </w:p>
    <w:p w:rsidR="00000000" w:rsidDel="00000000" w:rsidP="00000000" w:rsidRDefault="00000000" w:rsidRPr="00000000" w14:paraId="00000021">
      <w:pPr>
        <w:widowControl w:val="0"/>
        <w:spacing w:before="240" w:line="36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Προτάσεις προς τους φορείς της κοινωνίας πολιτών, της εκπαίδευσης και της έρευνας καθώς και του πολιτισμού:</w:t>
      </w:r>
      <w:r w:rsidDel="00000000" w:rsidR="00000000" w:rsidRPr="00000000">
        <w:rPr>
          <w:rtl w:val="0"/>
        </w:rPr>
      </w:r>
    </w:p>
    <w:p w:rsidR="00000000" w:rsidDel="00000000" w:rsidP="00000000" w:rsidRDefault="00000000" w:rsidRPr="00000000" w14:paraId="00000022">
      <w:pPr>
        <w:widowControl w:val="0"/>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Οι φορείς σε αυτούς τους τομείς θα πρέπει να </w:t>
      </w:r>
      <w:r w:rsidDel="00000000" w:rsidR="00000000" w:rsidRPr="00000000">
        <w:rPr>
          <w:rFonts w:ascii="Times New Roman" w:cs="Times New Roman" w:eastAsia="Times New Roman" w:hAnsi="Times New Roman"/>
          <w:b w:val="1"/>
          <w:sz w:val="24"/>
          <w:szCs w:val="24"/>
          <w:rtl w:val="0"/>
        </w:rPr>
        <w:t xml:space="preserve">επενδύσουν στο ανθρώπινο δυναμικό </w:t>
      </w:r>
      <w:r w:rsidDel="00000000" w:rsidR="00000000" w:rsidRPr="00000000">
        <w:rPr>
          <w:rFonts w:ascii="Times New Roman" w:cs="Times New Roman" w:eastAsia="Times New Roman" w:hAnsi="Times New Roman"/>
          <w:sz w:val="24"/>
          <w:szCs w:val="24"/>
          <w:rtl w:val="0"/>
        </w:rPr>
        <w:t xml:space="preserve">τους (π.χ. εκπαίδευση) ώστε να αυξηθεί η δυνατότητα συμμετοχής σε προγράμματα, κάτι που θα επιτρέψει και πιο συχνή συνεργασία. </w:t>
      </w:r>
    </w:p>
    <w:p w:rsidR="00000000" w:rsidDel="00000000" w:rsidP="00000000" w:rsidRDefault="00000000" w:rsidRPr="00000000" w14:paraId="00000023">
      <w:pPr>
        <w:widowControl w:val="0"/>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Είναι αναγκαίο να υπάρξουν πρωτοβουλίες που θα αυξήσουν τις διαπροσωπικές επαφές με την άλλη πλευρά και που θα προωθήσουν έτσι, στο βαθμό του δυνατού, την </w:t>
      </w:r>
      <w:r w:rsidDel="00000000" w:rsidR="00000000" w:rsidRPr="00000000">
        <w:rPr>
          <w:rFonts w:ascii="Times New Roman" w:cs="Times New Roman" w:eastAsia="Times New Roman" w:hAnsi="Times New Roman"/>
          <w:b w:val="1"/>
          <w:sz w:val="24"/>
          <w:szCs w:val="24"/>
          <w:rtl w:val="0"/>
        </w:rPr>
        <w:t xml:space="preserve">εμπέδωση μόνιμων δεσμών</w:t>
      </w:r>
      <w:r w:rsidDel="00000000" w:rsidR="00000000" w:rsidRPr="00000000">
        <w:rPr>
          <w:rFonts w:ascii="Times New Roman" w:cs="Times New Roman" w:eastAsia="Times New Roman" w:hAnsi="Times New Roman"/>
          <w:sz w:val="24"/>
          <w:szCs w:val="24"/>
          <w:rtl w:val="0"/>
        </w:rPr>
        <w:t xml:space="preserve">, κάτι που θα εξασφαλίζει τη συνέχεια και θα μειώσει την εξάρτηση από τον ρόλο των προσωπικοτήτων. </w:t>
      </w:r>
    </w:p>
    <w:p w:rsidR="00000000" w:rsidDel="00000000" w:rsidP="00000000" w:rsidRDefault="00000000" w:rsidRPr="00000000" w14:paraId="00000024">
      <w:pPr>
        <w:widowControl w:val="0"/>
        <w:spacing w:before="240" w:line="360" w:lineRule="auto"/>
        <w:jc w:val="both"/>
        <w:rPr>
          <w:sz w:val="32"/>
          <w:szCs w:val="32"/>
        </w:rPr>
      </w:pPr>
      <w:r w:rsidDel="00000000" w:rsidR="00000000" w:rsidRPr="00000000">
        <w:rPr>
          <w:rFonts w:ascii="Times New Roman" w:cs="Times New Roman" w:eastAsia="Times New Roman" w:hAnsi="Times New Roman"/>
          <w:sz w:val="24"/>
          <w:szCs w:val="24"/>
          <w:rtl w:val="0"/>
        </w:rPr>
        <w:t xml:space="preserve">3. Οι φορείς της κοινωνίας των πολιτών πρέπει να επιδιώξουν την </w:t>
      </w:r>
      <w:r w:rsidDel="00000000" w:rsidR="00000000" w:rsidRPr="00000000">
        <w:rPr>
          <w:rFonts w:ascii="Times New Roman" w:cs="Times New Roman" w:eastAsia="Times New Roman" w:hAnsi="Times New Roman"/>
          <w:b w:val="1"/>
          <w:sz w:val="24"/>
          <w:szCs w:val="24"/>
          <w:rtl w:val="0"/>
        </w:rPr>
        <w:t xml:space="preserve">εγκαθίδρυση μηχανισμών συστηματοποίησης της συνεργασίας</w:t>
      </w:r>
      <w:r w:rsidDel="00000000" w:rsidR="00000000" w:rsidRPr="00000000">
        <w:rPr>
          <w:rFonts w:ascii="Times New Roman" w:cs="Times New Roman" w:eastAsia="Times New Roman" w:hAnsi="Times New Roman"/>
          <w:sz w:val="24"/>
          <w:szCs w:val="24"/>
          <w:rtl w:val="0"/>
        </w:rPr>
        <w:t xml:space="preserve"> όπως οι ενώσεις πολιτών, δίκτυα οργανώσεων, επαγγελματικές ενώσεις κλπ. </w:t>
      </w:r>
      <w:r w:rsidDel="00000000" w:rsidR="00000000" w:rsidRPr="00000000">
        <w:rPr>
          <w:rtl w:val="0"/>
        </w:rPr>
      </w:r>
    </w:p>
    <w:p w:rsidR="00000000" w:rsidDel="00000000" w:rsidP="00000000" w:rsidRDefault="00000000" w:rsidRPr="00000000" w14:paraId="00000025">
      <w:pPr>
        <w:widowControl w:val="0"/>
        <w:spacing w:line="360" w:lineRule="auto"/>
        <w:jc w:val="both"/>
        <w:rPr>
          <w:sz w:val="32"/>
          <w:szCs w:val="32"/>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line="240" w:lineRule="auto"/>
      <w:jc w:val="center"/>
      <w:rPr/>
    </w:pPr>
    <w:r w:rsidDel="00000000" w:rsidR="00000000" w:rsidRPr="00000000">
      <w:rPr>
        <w:rFonts w:ascii="Times New Roman" w:cs="Times New Roman" w:eastAsia="Times New Roman" w:hAnsi="Times New Roman"/>
        <w:sz w:val="20"/>
        <w:szCs w:val="20"/>
      </w:rPr>
      <w:drawing>
        <wp:inline distB="114300" distT="114300" distL="114300" distR="114300">
          <wp:extent cx="1894873" cy="10239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94873" cy="10239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vertAlign w:val="baseline"/>
      </w:rPr>
    </w:lvl>
    <w:lvl w:ilvl="1">
      <w:start w:val="1"/>
      <w:numFmt w:val="bullet"/>
      <w:lvlText w:val="-"/>
      <w:lvlJc w:val="left"/>
      <w:pPr>
        <w:ind w:left="1440" w:hanging="360"/>
      </w:pPr>
      <w:rPr>
        <w:rFonts w:ascii="Noto Sans Symbols" w:cs="Noto Sans Symbols" w:eastAsia="Noto Sans Symbols" w:hAnsi="Noto Sans Symbols"/>
        <w:u w:val="none"/>
        <w:vertAlign w:val="baseline"/>
      </w:rPr>
    </w:lvl>
    <w:lvl w:ilvl="2">
      <w:start w:val="1"/>
      <w:numFmt w:val="bullet"/>
      <w:lvlText w:val="-"/>
      <w:lvlJc w:val="left"/>
      <w:pPr>
        <w:ind w:left="2160" w:hanging="360"/>
      </w:pPr>
      <w:rPr>
        <w:rFonts w:ascii="Noto Sans Symbols" w:cs="Noto Sans Symbols" w:eastAsia="Noto Sans Symbols" w:hAnsi="Noto Sans Symbols"/>
        <w:u w:val="none"/>
        <w:vertAlign w:val="baseline"/>
      </w:rPr>
    </w:lvl>
    <w:lvl w:ilvl="3">
      <w:start w:val="1"/>
      <w:numFmt w:val="bullet"/>
      <w:lvlText w:val="-"/>
      <w:lvlJc w:val="left"/>
      <w:pPr>
        <w:ind w:left="2880" w:hanging="360"/>
      </w:pPr>
      <w:rPr>
        <w:rFonts w:ascii="Noto Sans Symbols" w:cs="Noto Sans Symbols" w:eastAsia="Noto Sans Symbols" w:hAnsi="Noto Sans Symbols"/>
        <w:u w:val="none"/>
        <w:vertAlign w:val="baseline"/>
      </w:rPr>
    </w:lvl>
    <w:lvl w:ilvl="4">
      <w:start w:val="1"/>
      <w:numFmt w:val="bullet"/>
      <w:lvlText w:val="-"/>
      <w:lvlJc w:val="left"/>
      <w:pPr>
        <w:ind w:left="3600" w:hanging="360"/>
      </w:pPr>
      <w:rPr>
        <w:rFonts w:ascii="Noto Sans Symbols" w:cs="Noto Sans Symbols" w:eastAsia="Noto Sans Symbols" w:hAnsi="Noto Sans Symbols"/>
        <w:u w:val="none"/>
        <w:vertAlign w:val="baseline"/>
      </w:rPr>
    </w:lvl>
    <w:lvl w:ilvl="5">
      <w:start w:val="1"/>
      <w:numFmt w:val="bullet"/>
      <w:lvlText w:val="-"/>
      <w:lvlJc w:val="left"/>
      <w:pPr>
        <w:ind w:left="4320" w:hanging="360"/>
      </w:pPr>
      <w:rPr>
        <w:rFonts w:ascii="Noto Sans Symbols" w:cs="Noto Sans Symbols" w:eastAsia="Noto Sans Symbols" w:hAnsi="Noto Sans Symbols"/>
        <w:u w:val="none"/>
        <w:vertAlign w:val="baseline"/>
      </w:rPr>
    </w:lvl>
    <w:lvl w:ilvl="6">
      <w:start w:val="1"/>
      <w:numFmt w:val="bullet"/>
      <w:lvlText w:val="-"/>
      <w:lvlJc w:val="left"/>
      <w:pPr>
        <w:ind w:left="5040" w:hanging="360"/>
      </w:pPr>
      <w:rPr>
        <w:rFonts w:ascii="Noto Sans Symbols" w:cs="Noto Sans Symbols" w:eastAsia="Noto Sans Symbols" w:hAnsi="Noto Sans Symbols"/>
        <w:u w:val="none"/>
        <w:vertAlign w:val="baseline"/>
      </w:rPr>
    </w:lvl>
    <w:lvl w:ilvl="7">
      <w:start w:val="1"/>
      <w:numFmt w:val="bullet"/>
      <w:lvlText w:val="-"/>
      <w:lvlJc w:val="left"/>
      <w:pPr>
        <w:ind w:left="5760" w:hanging="360"/>
      </w:pPr>
      <w:rPr>
        <w:rFonts w:ascii="Noto Sans Symbols" w:cs="Noto Sans Symbols" w:eastAsia="Noto Sans Symbols" w:hAnsi="Noto Sans Symbols"/>
        <w:u w:val="none"/>
        <w:vertAlign w:val="baseline"/>
      </w:rPr>
    </w:lvl>
    <w:lvl w:ilvl="8">
      <w:start w:val="1"/>
      <w:numFmt w:val="bullet"/>
      <w:lvlText w:val="-"/>
      <w:lvlJc w:val="left"/>
      <w:pPr>
        <w:ind w:left="6480" w:hanging="360"/>
      </w:pPr>
      <w:rPr>
        <w:rFonts w:ascii="Noto Sans Symbols" w:cs="Noto Sans Symbols" w:eastAsia="Noto Sans Symbols" w:hAnsi="Noto Sans Symbols"/>
        <w:u w:val="none"/>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u w:val="none"/>
        <w:vertAlign w:val="baseline"/>
      </w:rPr>
    </w:lvl>
    <w:lvl w:ilvl="1">
      <w:start w:val="1"/>
      <w:numFmt w:val="bullet"/>
      <w:lvlText w:val="-"/>
      <w:lvlJc w:val="left"/>
      <w:pPr>
        <w:ind w:left="1440" w:hanging="360"/>
      </w:pPr>
      <w:rPr>
        <w:rFonts w:ascii="Noto Sans Symbols" w:cs="Noto Sans Symbols" w:eastAsia="Noto Sans Symbols" w:hAnsi="Noto Sans Symbols"/>
        <w:u w:val="none"/>
        <w:vertAlign w:val="baseline"/>
      </w:rPr>
    </w:lvl>
    <w:lvl w:ilvl="2">
      <w:start w:val="1"/>
      <w:numFmt w:val="bullet"/>
      <w:lvlText w:val="-"/>
      <w:lvlJc w:val="left"/>
      <w:pPr>
        <w:ind w:left="2160" w:hanging="360"/>
      </w:pPr>
      <w:rPr>
        <w:rFonts w:ascii="Noto Sans Symbols" w:cs="Noto Sans Symbols" w:eastAsia="Noto Sans Symbols" w:hAnsi="Noto Sans Symbols"/>
        <w:u w:val="none"/>
        <w:vertAlign w:val="baseline"/>
      </w:rPr>
    </w:lvl>
    <w:lvl w:ilvl="3">
      <w:start w:val="1"/>
      <w:numFmt w:val="bullet"/>
      <w:lvlText w:val="-"/>
      <w:lvlJc w:val="left"/>
      <w:pPr>
        <w:ind w:left="2880" w:hanging="360"/>
      </w:pPr>
      <w:rPr>
        <w:rFonts w:ascii="Noto Sans Symbols" w:cs="Noto Sans Symbols" w:eastAsia="Noto Sans Symbols" w:hAnsi="Noto Sans Symbols"/>
        <w:u w:val="none"/>
        <w:vertAlign w:val="baseline"/>
      </w:rPr>
    </w:lvl>
    <w:lvl w:ilvl="4">
      <w:start w:val="1"/>
      <w:numFmt w:val="bullet"/>
      <w:lvlText w:val="-"/>
      <w:lvlJc w:val="left"/>
      <w:pPr>
        <w:ind w:left="3600" w:hanging="360"/>
      </w:pPr>
      <w:rPr>
        <w:rFonts w:ascii="Noto Sans Symbols" w:cs="Noto Sans Symbols" w:eastAsia="Noto Sans Symbols" w:hAnsi="Noto Sans Symbols"/>
        <w:u w:val="none"/>
        <w:vertAlign w:val="baseline"/>
      </w:rPr>
    </w:lvl>
    <w:lvl w:ilvl="5">
      <w:start w:val="1"/>
      <w:numFmt w:val="bullet"/>
      <w:lvlText w:val="-"/>
      <w:lvlJc w:val="left"/>
      <w:pPr>
        <w:ind w:left="4320" w:hanging="360"/>
      </w:pPr>
      <w:rPr>
        <w:rFonts w:ascii="Noto Sans Symbols" w:cs="Noto Sans Symbols" w:eastAsia="Noto Sans Symbols" w:hAnsi="Noto Sans Symbols"/>
        <w:u w:val="none"/>
        <w:vertAlign w:val="baseline"/>
      </w:rPr>
    </w:lvl>
    <w:lvl w:ilvl="6">
      <w:start w:val="1"/>
      <w:numFmt w:val="bullet"/>
      <w:lvlText w:val="-"/>
      <w:lvlJc w:val="left"/>
      <w:pPr>
        <w:ind w:left="5040" w:hanging="360"/>
      </w:pPr>
      <w:rPr>
        <w:rFonts w:ascii="Noto Sans Symbols" w:cs="Noto Sans Symbols" w:eastAsia="Noto Sans Symbols" w:hAnsi="Noto Sans Symbols"/>
        <w:u w:val="none"/>
        <w:vertAlign w:val="baseline"/>
      </w:rPr>
    </w:lvl>
    <w:lvl w:ilvl="7">
      <w:start w:val="1"/>
      <w:numFmt w:val="bullet"/>
      <w:lvlText w:val="-"/>
      <w:lvlJc w:val="left"/>
      <w:pPr>
        <w:ind w:left="5760" w:hanging="360"/>
      </w:pPr>
      <w:rPr>
        <w:rFonts w:ascii="Noto Sans Symbols" w:cs="Noto Sans Symbols" w:eastAsia="Noto Sans Symbols" w:hAnsi="Noto Sans Symbols"/>
        <w:u w:val="none"/>
        <w:vertAlign w:val="baseline"/>
      </w:rPr>
    </w:lvl>
    <w:lvl w:ilvl="8">
      <w:start w:val="1"/>
      <w:numFmt w:val="bullet"/>
      <w:lvlText w:val="-"/>
      <w:lvlJc w:val="left"/>
      <w:pPr>
        <w:ind w:left="6480" w:hanging="360"/>
      </w:pPr>
      <w:rPr>
        <w:rFonts w:ascii="Noto Sans Symbols" w:cs="Noto Sans Symbols" w:eastAsia="Noto Sans Symbols" w:hAnsi="Noto Sans Symbols"/>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