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885" w:type="dxa"/>
        <w:tblCellMar>
          <w:left w:w="0" w:type="dxa"/>
          <w:right w:w="0" w:type="dxa"/>
        </w:tblCellMar>
        <w:tblLook w:val="00A0"/>
      </w:tblPr>
      <w:tblGrid>
        <w:gridCol w:w="11766"/>
      </w:tblGrid>
      <w:tr w:rsidR="00F36DDC" w:rsidTr="007D76A2">
        <w:tc>
          <w:tcPr>
            <w:tcW w:w="1176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Default="00F36DDC">
            <w:r>
              <w:rPr>
                <w:rFonts w:ascii="Georgia" w:hAnsi="Georgia"/>
                <w:i/>
                <w:iCs/>
                <w:color w:val="F0A009"/>
                <w:sz w:val="96"/>
                <w:szCs w:val="96"/>
              </w:rPr>
              <w:t>News Flash</w:t>
            </w:r>
          </w:p>
        </w:tc>
      </w:tr>
      <w:tr w:rsidR="00F36DDC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Default="00F36DDC">
            <w:pPr>
              <w:jc w:val="right"/>
            </w:pPr>
            <w:r>
              <w:rPr>
                <w:rFonts w:ascii="Cambria" w:hAnsi="Cambria"/>
                <w:i/>
                <w:iCs/>
                <w:color w:val="1C1C1C"/>
                <w:sz w:val="28"/>
                <w:szCs w:val="28"/>
                <w:lang w:val="en-US"/>
              </w:rPr>
              <w:t xml:space="preserve">17 October </w:t>
            </w:r>
            <w:r>
              <w:rPr>
                <w:rFonts w:ascii="Cambria" w:hAnsi="Cambria"/>
                <w:i/>
                <w:iCs/>
                <w:color w:val="1C1C1C"/>
                <w:sz w:val="28"/>
                <w:szCs w:val="28"/>
              </w:rPr>
              <w:t>2013</w:t>
            </w:r>
          </w:p>
        </w:tc>
      </w:tr>
      <w:tr w:rsidR="00F36DDC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Default="00F36DDC">
            <w:r>
              <w:t> </w:t>
            </w:r>
          </w:p>
        </w:tc>
      </w:tr>
      <w:tr w:rsidR="00F36DDC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Default="00F36DDC">
            <w:r>
              <w:rPr>
                <w:rFonts w:ascii="Cambria" w:hAnsi="Cambria"/>
                <w:color w:val="1C1C1C"/>
                <w:sz w:val="28"/>
                <w:szCs w:val="28"/>
              </w:rPr>
              <w:t>Dear Friends of ELIAMEP,</w:t>
            </w:r>
          </w:p>
        </w:tc>
      </w:tr>
      <w:tr w:rsidR="00F36DDC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Default="00F36DDC">
            <w:r>
              <w:t> </w:t>
            </w:r>
          </w:p>
        </w:tc>
      </w:tr>
      <w:tr w:rsidR="00F36DDC" w:rsidRPr="00724FEA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Default="00F36DDC" w:rsidP="00996D5C">
            <w:pPr>
              <w:jc w:val="both"/>
              <w:rPr>
                <w:rFonts w:ascii="Cambria" w:hAnsi="Cambria"/>
                <w:color w:val="000000"/>
                <w:sz w:val="28"/>
                <w:szCs w:val="28"/>
                <w:lang w:val="en-GB"/>
              </w:rPr>
            </w:pPr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The Hellenic Foundatio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n for European &amp; Foreign Policy</w:t>
            </w:r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participates in 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the </w:t>
            </w:r>
            <w:hyperlink r:id="rId7" w:history="1">
              <w:r w:rsidRPr="00996D5C">
                <w:rPr>
                  <w:rStyle w:val="Hyperlink"/>
                  <w:rFonts w:ascii="Cambria" w:hAnsi="Cambria"/>
                  <w:b/>
                  <w:sz w:val="28"/>
                  <w:szCs w:val="28"/>
                  <w:lang w:val="en-GB"/>
                </w:rPr>
                <w:t>CONFRONT</w:t>
              </w:r>
            </w:hyperlink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 Research Project (</w:t>
            </w:r>
            <w:r w:rsidRPr="00996D5C">
              <w:rPr>
                <w:rFonts w:ascii="Cambria" w:hAnsi="Cambria"/>
                <w:i/>
                <w:color w:val="000000"/>
                <w:sz w:val="28"/>
                <w:szCs w:val="28"/>
                <w:lang w:val="en-GB"/>
              </w:rPr>
              <w:t>Countering new forms of Roma children trafficking: Participatory approach</w:t>
            </w:r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) which aims to advance knowledge of new forms of trafficking affecting children from the Roma community. CONFRONT will focus on three new forms of trafficking affecting children in Roma communities: child begging, labour exploitation for pick-pocketing and sexual exploitation of boys. Activities will take place in four EU Member States that are typical countries of origin for victims of trafficking (</w:t>
            </w:r>
            <w:smartTag w:uri="urn:schemas-microsoft-com:office:smarttags" w:element="country-region">
              <w:r w:rsidRPr="00724FEA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Bulgaria</w:t>
              </w:r>
            </w:smartTag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, </w:t>
            </w:r>
            <w:smartTag w:uri="urn:schemas-microsoft-com:office:smarttags" w:element="country-region">
              <w:r w:rsidRPr="00724FEA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Romania</w:t>
              </w:r>
            </w:smartTag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, </w:t>
            </w:r>
            <w:smartTag w:uri="urn:schemas-microsoft-com:office:smarttags" w:element="country-region">
              <w:r w:rsidRPr="00724FEA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Hungary</w:t>
              </w:r>
            </w:smartTag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, </w:t>
            </w:r>
            <w:smartTag w:uri="urn:schemas-microsoft-com:office:smarttags" w:element="country-region">
              <w:r w:rsidRPr="00724FEA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Slovakia</w:t>
              </w:r>
            </w:smartTag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); and three Member States that are traditionally destination points for Roma victims (</w:t>
            </w:r>
            <w:smartTag w:uri="urn:schemas-microsoft-com:office:smarttags" w:element="country-region">
              <w:r w:rsidRPr="00724FEA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Austria</w:t>
              </w:r>
            </w:smartTag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, </w:t>
            </w:r>
            <w:smartTag w:uri="urn:schemas-microsoft-com:office:smarttags" w:element="country-region">
              <w:r w:rsidRPr="00724FEA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Italy</w:t>
              </w:r>
            </w:smartTag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724FEA">
                  <w:rPr>
                    <w:rFonts w:ascii="Cambria" w:hAnsi="Cambria"/>
                    <w:color w:val="000000"/>
                    <w:sz w:val="28"/>
                    <w:szCs w:val="28"/>
                    <w:lang w:val="en-GB"/>
                  </w:rPr>
                  <w:t>Greece</w:t>
                </w:r>
              </w:smartTag>
            </w:smartTag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). 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Dr Dia Anagnostou and Ms Anna Kandyla will co-ordinate research activities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mbria" w:hAnsi="Cambria"/>
                    <w:color w:val="000000"/>
                    <w:sz w:val="28"/>
                    <w:szCs w:val="28"/>
                    <w:lang w:val="en-GB"/>
                  </w:rPr>
                  <w:t>Greece</w:t>
                </w:r>
              </w:smartTag>
            </w:smartTag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.</w:t>
            </w:r>
          </w:p>
          <w:p w:rsidR="00F36DDC" w:rsidRDefault="00F36DDC">
            <w:pPr>
              <w:rPr>
                <w:rFonts w:ascii="Cambria" w:hAnsi="Cambria"/>
                <w:color w:val="000000"/>
                <w:sz w:val="28"/>
                <w:szCs w:val="28"/>
                <w:lang w:val="en-GB"/>
              </w:rPr>
            </w:pPr>
          </w:p>
          <w:p w:rsidR="00F36DDC" w:rsidRPr="00996D5C" w:rsidRDefault="00F36DDC" w:rsidP="008E546E">
            <w:pPr>
              <w:jc w:val="both"/>
              <w:rPr>
                <w:rFonts w:ascii="Cambria" w:hAnsi="Cambria"/>
                <w:color w:val="000000"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Additionally, ELIAMEP in co-operation with </w:t>
            </w:r>
            <w:r w:rsidRPr="00BC7942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the Department of European and International Relations (Directorate of Public and International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Studies</w:t>
            </w:r>
            <w:r w:rsidRPr="00BC7942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) of the </w:t>
            </w:r>
            <w:smartTag w:uri="urn:schemas-microsoft-com:office:smarttags" w:element="place">
              <w:smartTag w:uri="urn:schemas-microsoft-com:office:smarttags" w:element="PlaceType">
                <w:r w:rsidRPr="00BC7942">
                  <w:rPr>
                    <w:rFonts w:ascii="Cambria" w:hAnsi="Cambria"/>
                    <w:color w:val="000000"/>
                    <w:sz w:val="28"/>
                    <w:szCs w:val="28"/>
                    <w:lang w:val="en-GB"/>
                  </w:rPr>
                  <w:t>University</w:t>
                </w:r>
              </w:smartTag>
              <w:r w:rsidRPr="00BC7942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 xml:space="preserve"> of </w:t>
              </w:r>
              <w:smartTag w:uri="urn:schemas-microsoft-com:office:smarttags" w:element="PlaceName">
                <w:r w:rsidRPr="00BC7942">
                  <w:rPr>
                    <w:rFonts w:ascii="Cambria" w:hAnsi="Cambria"/>
                    <w:color w:val="000000"/>
                    <w:sz w:val="28"/>
                    <w:szCs w:val="28"/>
                    <w:lang w:val="en-GB"/>
                  </w:rPr>
                  <w:t>Athens</w:t>
                </w:r>
              </w:smartTag>
            </w:smartTag>
            <w:r w:rsidRPr="00BC7942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are organising a Symposium for PhD candidates and young researchers with interest in Hellenic affairs. This Symposium will take place in </w:t>
            </w:r>
            <w:smartTag w:uri="urn:schemas-microsoft-com:office:smarttags" w:element="place">
              <w:r w:rsidRPr="00BC7942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Athens</w:t>
              </w:r>
            </w:smartTag>
            <w:r w:rsidRPr="00BC7942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on 21 and 22 January 2014 and will be held in Greek. 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For more information you can visit our </w:t>
            </w:r>
            <w:hyperlink r:id="rId8" w:history="1">
              <w:r w:rsidRPr="00996D5C">
                <w:rPr>
                  <w:rStyle w:val="Hyperlink"/>
                  <w:rFonts w:ascii="Cambria" w:hAnsi="Cambria"/>
                  <w:b/>
                  <w:sz w:val="28"/>
                  <w:szCs w:val="28"/>
                  <w:lang w:val="en-GB"/>
                </w:rPr>
                <w:t>website</w:t>
              </w:r>
            </w:hyperlink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.  </w:t>
            </w:r>
          </w:p>
        </w:tc>
      </w:tr>
      <w:tr w:rsidR="00F36DDC" w:rsidRPr="00724FEA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Default="00F36DDC">
            <w:pPr>
              <w:jc w:val="both"/>
              <w:rPr>
                <w:color w:val="000000"/>
                <w:lang w:val="en-US"/>
              </w:rPr>
            </w:pPr>
            <w:r w:rsidRPr="00BE7845">
              <w:rPr>
                <w:color w:val="000000"/>
                <w:lang w:val="en-US"/>
              </w:rPr>
              <w:t> </w:t>
            </w:r>
          </w:p>
          <w:p w:rsidR="00F36DDC" w:rsidRPr="00BE7845" w:rsidRDefault="00F36DDC">
            <w:pPr>
              <w:jc w:val="both"/>
              <w:rPr>
                <w:color w:val="000000"/>
                <w:lang w:val="en-US"/>
              </w:rPr>
            </w:pPr>
          </w:p>
        </w:tc>
      </w:tr>
      <w:tr w:rsidR="00F36DDC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BE7845" w:rsidRDefault="00F36DDC">
            <w:pPr>
              <w:rPr>
                <w:color w:val="000000"/>
                <w:lang w:val="en-US"/>
              </w:rPr>
            </w:pPr>
            <w:r w:rsidRPr="0064242D">
              <w:rPr>
                <w:rFonts w:ascii="Georgia" w:hAnsi="Georgia"/>
                <w:b/>
                <w:bCs/>
                <w:i/>
                <w:iCs/>
                <w:color w:val="F0A009"/>
                <w:sz w:val="40"/>
                <w:szCs w:val="40"/>
                <w:lang w:val="en-GB"/>
              </w:rPr>
              <w:t>Publications</w:t>
            </w:r>
          </w:p>
        </w:tc>
      </w:tr>
      <w:tr w:rsidR="00F36DDC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BE7845" w:rsidRDefault="00F36DDC">
            <w:pPr>
              <w:jc w:val="both"/>
              <w:rPr>
                <w:color w:val="000000"/>
                <w:lang w:val="en-US"/>
              </w:rPr>
            </w:pPr>
            <w:r w:rsidRPr="00BE7845">
              <w:rPr>
                <w:color w:val="000000"/>
                <w:lang w:val="en-US"/>
              </w:rPr>
              <w:t> </w:t>
            </w: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6D46E5" w:rsidRDefault="00F36DDC" w:rsidP="00996D5C">
            <w:pPr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</w:p>
          <w:p w:rsidR="00F36DDC" w:rsidRPr="004B78D7" w:rsidRDefault="00F36DDC" w:rsidP="004B78D7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New Book: </w:t>
            </w:r>
            <w:hyperlink r:id="rId9" w:history="1">
              <w:r w:rsidRPr="004B78D7">
                <w:rPr>
                  <w:rStyle w:val="Hyperlink"/>
                  <w:rFonts w:ascii="Cambria" w:hAnsi="Cambria"/>
                  <w:b/>
                  <w:i/>
                  <w:sz w:val="28"/>
                  <w:szCs w:val="28"/>
                  <w:lang w:val="en-GB"/>
                </w:rPr>
                <w:t>The European Court of Human Rights: Implementing Strasbourg’s Judgments on Domestic Policy</w:t>
              </w:r>
            </w:hyperlink>
            <w:r w:rsidRPr="004B78D7">
              <w:rPr>
                <w:rFonts w:ascii="Cambria" w:hAnsi="Cambria"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edited by Dr Dia Anagnostou</w:t>
            </w:r>
          </w:p>
          <w:p w:rsidR="00F36DDC" w:rsidRPr="004B78D7" w:rsidRDefault="00F36DDC" w:rsidP="004B78D7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New Book: </w:t>
            </w:r>
            <w:hyperlink r:id="rId10" w:history="1">
              <w:r w:rsidRPr="004B78D7">
                <w:rPr>
                  <w:rStyle w:val="Hyperlink"/>
                  <w:rFonts w:ascii="Cambria" w:hAnsi="Cambria"/>
                  <w:b/>
                  <w:i/>
                  <w:sz w:val="28"/>
                  <w:szCs w:val="28"/>
                  <w:lang w:val="en-GB"/>
                </w:rPr>
                <w:t>Circular Migration between Europe and its Neighbourhoud: Choice or Necessity?</w:t>
              </w:r>
            </w:hyperlink>
            <w:r w:rsidRPr="004B78D7">
              <w:rPr>
                <w:rFonts w:ascii="Cambria" w:hAnsi="Cambria"/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edited by Professor Anna Triandafyllidou </w:t>
            </w:r>
          </w:p>
          <w:p w:rsidR="00F36DDC" w:rsidRPr="00E3323E" w:rsidRDefault="00F36DDC" w:rsidP="004B78D7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Special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Issue of the </w:t>
            </w:r>
            <w:r w:rsidRPr="004B78D7">
              <w:rPr>
                <w:rFonts w:ascii="Cambria" w:hAnsi="Cambria"/>
                <w:i/>
                <w:color w:val="000000"/>
                <w:sz w:val="28"/>
                <w:szCs w:val="28"/>
                <w:lang w:val="en-GB"/>
              </w:rPr>
              <w:t>Canadian Journal of Law and Society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:  ‘</w:t>
            </w:r>
            <w:hyperlink r:id="rId11" w:history="1">
              <w:r w:rsidRPr="00996D5C">
                <w:rPr>
                  <w:rStyle w:val="Hyperlink"/>
                  <w:rFonts w:ascii="Cambria" w:hAnsi="Cambria"/>
                  <w:b/>
                  <w:sz w:val="28"/>
                  <w:szCs w:val="28"/>
                  <w:lang w:val="en-GB"/>
                </w:rPr>
                <w:t>Gender equality, legal mobilization and feminism in a multi-level European system</w:t>
              </w:r>
            </w:hyperlink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’  edited by </w:t>
            </w:r>
            <w:r w:rsidRPr="00996D5C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Dr Dia Anagnostou and Professor Susan Millns</w:t>
            </w:r>
          </w:p>
          <w:p w:rsidR="00F36DDC" w:rsidRPr="009611C7" w:rsidRDefault="00F36DDC" w:rsidP="004B78D7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‘</w:t>
            </w:r>
            <w:hyperlink r:id="rId12" w:history="1">
              <w:r w:rsidRPr="00E3323E">
                <w:rPr>
                  <w:rStyle w:val="Hyperlink"/>
                  <w:rFonts w:ascii="Cambria" w:hAnsi="Cambria"/>
                  <w:b/>
                  <w:sz w:val="28"/>
                  <w:szCs w:val="28"/>
                  <w:lang w:val="en-GB"/>
                </w:rPr>
                <w:t>The Permanent Representatives to the EU: Going Native in the European Field?</w:t>
              </w:r>
            </w:hyperlink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’ by Dr Filippa Chatzistavrou</w:t>
            </w:r>
          </w:p>
          <w:p w:rsidR="00F36DDC" w:rsidRDefault="00F36DDC" w:rsidP="004B78D7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‘</w:t>
            </w:r>
            <w:hyperlink r:id="rId13" w:history="1">
              <w:r w:rsidRPr="00E3323E">
                <w:rPr>
                  <w:rStyle w:val="Hyperlink"/>
                  <w:rFonts w:ascii="Cambria" w:hAnsi="Cambria"/>
                  <w:b/>
                  <w:sz w:val="28"/>
                  <w:szCs w:val="28"/>
                  <w:lang w:val="en-US"/>
                </w:rPr>
                <w:t>The feasibility and impact of the Turkis</w:t>
              </w:r>
              <w:r>
                <w:rPr>
                  <w:rStyle w:val="Hyperlink"/>
                  <w:rFonts w:ascii="Cambria" w:hAnsi="Cambria"/>
                  <w:b/>
                  <w:sz w:val="28"/>
                  <w:szCs w:val="28"/>
                  <w:lang w:val="en-US"/>
                </w:rPr>
                <w:t>h-Israeli rapprochement on the g</w:t>
              </w:r>
              <w:r w:rsidRPr="00E3323E">
                <w:rPr>
                  <w:rStyle w:val="Hyperlink"/>
                  <w:rFonts w:ascii="Cambria" w:hAnsi="Cambria"/>
                  <w:b/>
                  <w:sz w:val="28"/>
                  <w:szCs w:val="28"/>
                  <w:lang w:val="en-US"/>
                </w:rPr>
                <w:t>eopolitics of the Eastern Mediterranean</w:t>
              </w:r>
            </w:hyperlink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’ by Dr Theodore Tsakiris</w:t>
            </w:r>
          </w:p>
          <w:p w:rsidR="00F36DDC" w:rsidRPr="00BC7942" w:rsidRDefault="00F36DDC" w:rsidP="00C716E4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‘</w:t>
            </w:r>
            <w:hyperlink r:id="rId14" w:history="1">
              <w:r w:rsidRPr="003008F9">
                <w:rPr>
                  <w:rStyle w:val="Hyperlink"/>
                  <w:rFonts w:ascii="Cambria" w:hAnsi="Cambria"/>
                  <w:b/>
                  <w:sz w:val="28"/>
                  <w:szCs w:val="28"/>
                  <w:lang w:val="en-US"/>
                </w:rPr>
                <w:t>Europees Hof voor de Rechten van de Mens, 29 februari 2013, nr. 40397/12, Neij en Sunde Kolmisoppi tegen Zweden, Pirate Bay, internet, copyright’, 14 </w:t>
              </w:r>
              <w:r w:rsidRPr="003008F9">
                <w:rPr>
                  <w:rStyle w:val="Hyperlink"/>
                  <w:rFonts w:ascii="Cambria" w:hAnsi="Cambria"/>
                  <w:b/>
                  <w:i/>
                  <w:iCs/>
                  <w:sz w:val="28"/>
                  <w:szCs w:val="28"/>
                  <w:lang w:val="en-US"/>
                </w:rPr>
                <w:t>European Human Rights Cases</w:t>
              </w:r>
              <w:r w:rsidRPr="003008F9">
                <w:rPr>
                  <w:rStyle w:val="Hyperlink"/>
                  <w:rFonts w:ascii="Cambria" w:hAnsi="Cambria"/>
                  <w:b/>
                  <w:sz w:val="28"/>
                  <w:szCs w:val="28"/>
                  <w:lang w:val="en-US"/>
                </w:rPr>
                <w:t> (8-20 August 2013)</w:t>
              </w:r>
            </w:hyperlink>
            <w:r w:rsidRPr="00E3323E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by Dr </w:t>
            </w:r>
            <w:r w:rsidRPr="00E3323E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Evangelia Psychogiopoulou</w:t>
            </w: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6D46E5" w:rsidRDefault="00F36DDC">
            <w:pPr>
              <w:ind w:hanging="360"/>
              <w:jc w:val="both"/>
              <w:rPr>
                <w:lang w:val="en-GB"/>
              </w:rPr>
            </w:pP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6D46E5" w:rsidRDefault="00F36DDC" w:rsidP="006D46E5">
            <w:pPr>
              <w:jc w:val="both"/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6D46E5" w:rsidRDefault="00F36DDC" w:rsidP="00543F45">
            <w:pPr>
              <w:jc w:val="both"/>
              <w:rPr>
                <w:lang w:val="en-GB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We also </w:t>
            </w:r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>remind you that EL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IAMEP’s Crisis Observatory has </w:t>
            </w:r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launched a </w:t>
            </w:r>
            <w:hyperlink r:id="rId15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new website</w:t>
              </w:r>
            </w:hyperlink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 and </w:t>
            </w:r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can be contacted at: </w:t>
            </w:r>
            <w:hyperlink r:id="rId16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info@crisisobs.gr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. Also, you can email:  </w:t>
            </w:r>
            <w:hyperlink r:id="rId17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see_programme@eliamep.gr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Balkan affairs, </w:t>
            </w:r>
            <w:hyperlink r:id="rId18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migration@eliamep.gr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migration issues and </w:t>
            </w:r>
            <w:hyperlink r:id="rId19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venetis@eliamep.gr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the Middle East Research Programme.</w:t>
            </w: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6D46E5" w:rsidRDefault="00F36DDC">
            <w:pPr>
              <w:ind w:hanging="1080"/>
              <w:jc w:val="both"/>
              <w:rPr>
                <w:lang w:val="en-GB"/>
              </w:rPr>
            </w:pP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BE7845" w:rsidRDefault="00F36DDC" w:rsidP="00BC7942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</w:tr>
      <w:tr w:rsidR="00F36DDC" w:rsidRPr="00BC7942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BE7845" w:rsidRDefault="00F36DDC" w:rsidP="00BC7942">
            <w:pPr>
              <w:spacing w:before="100" w:beforeAutospacing="1" w:after="100" w:afterAutospacing="1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bCs/>
                <w:color w:val="1C1C1C"/>
                <w:sz w:val="28"/>
                <w:szCs w:val="28"/>
              </w:rPr>
              <w:t>With best wishes,</w:t>
            </w:r>
          </w:p>
        </w:tc>
      </w:tr>
      <w:tr w:rsidR="00F36DDC" w:rsidRPr="00BC7942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BE7845" w:rsidRDefault="00F36DDC" w:rsidP="005E4C2B">
            <w:pPr>
              <w:spacing w:before="100" w:beforeAutospacing="1" w:after="100" w:afterAutospacing="1"/>
              <w:rPr>
                <w:color w:val="000000"/>
                <w:lang w:val="en-GB"/>
              </w:rPr>
            </w:pPr>
            <w:r>
              <w:rPr>
                <w:rFonts w:ascii="Cambria" w:hAnsi="Cambria"/>
                <w:b/>
                <w:bCs/>
                <w:color w:val="1C1C1C"/>
                <w:sz w:val="28"/>
                <w:szCs w:val="28"/>
              </w:rPr>
              <w:t>The ELIAMEP Team</w:t>
            </w:r>
          </w:p>
        </w:tc>
      </w:tr>
      <w:tr w:rsidR="00F36DDC" w:rsidRPr="00BC7942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BE7845" w:rsidRDefault="00F36DDC" w:rsidP="00BC7942">
            <w:pPr>
              <w:spacing w:before="100" w:beforeAutospacing="1" w:after="100" w:afterAutospacing="1"/>
              <w:ind w:left="360"/>
              <w:rPr>
                <w:color w:val="000000"/>
                <w:lang w:val="en-GB"/>
              </w:rPr>
            </w:pP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BE7845" w:rsidRDefault="00F36DDC" w:rsidP="005E4C2B">
            <w:pPr>
              <w:autoSpaceDN w:val="0"/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Find us: </w:t>
            </w:r>
            <w:hyperlink r:id="rId20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www.eliamep.gr</w:t>
              </w:r>
            </w:hyperlink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7D76A2" w:rsidRDefault="00F36DDC" w:rsidP="00D872F5">
            <w:pPr>
              <w:jc w:val="both"/>
              <w:rPr>
                <w:lang w:val="en-US"/>
              </w:rPr>
            </w:pP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Follow us on </w:t>
            </w:r>
            <w:hyperlink r:id="rId21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facebook</w:t>
              </w:r>
            </w:hyperlink>
            <w:r w:rsidRPr="007D76A2">
              <w:rPr>
                <w:b/>
                <w:bCs/>
                <w:i/>
                <w:iCs/>
                <w:lang w:val="en-US"/>
              </w:rPr>
              <w:t> </w:t>
            </w: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and </w:t>
            </w:r>
            <w:hyperlink r:id="rId22" w:anchor="!/eliamepgr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twitter</w:t>
              </w:r>
            </w:hyperlink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7D76A2" w:rsidRDefault="00F36DDC">
            <w:pPr>
              <w:jc w:val="both"/>
              <w:rPr>
                <w:lang w:val="en-US"/>
              </w:rPr>
            </w:pP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7D76A2" w:rsidRDefault="00F36DDC">
            <w:pPr>
              <w:rPr>
                <w:lang w:val="en-US"/>
              </w:rPr>
            </w:pP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7D76A2" w:rsidRDefault="00F36DDC">
            <w:pPr>
              <w:ind w:hanging="360"/>
              <w:jc w:val="both"/>
              <w:rPr>
                <w:lang w:val="en-US"/>
              </w:rPr>
            </w:pPr>
            <w:r w:rsidRPr="007D76A2">
              <w:rPr>
                <w:lang w:val="en-US"/>
              </w:rPr>
              <w:t> </w:t>
            </w: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5E4C2B" w:rsidRDefault="00F36DDC">
            <w:pPr>
              <w:jc w:val="both"/>
              <w:rPr>
                <w:lang w:val="en-GB"/>
              </w:rPr>
            </w:pP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5E4C2B" w:rsidRDefault="00F36DDC">
            <w:pPr>
              <w:jc w:val="both"/>
              <w:rPr>
                <w:lang w:val="en-GB"/>
              </w:rPr>
            </w:pP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5E4C2B" w:rsidRDefault="00F36DDC">
            <w:pPr>
              <w:jc w:val="both"/>
              <w:rPr>
                <w:lang w:val="en-GB"/>
              </w:rPr>
            </w:pP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5E4C2B" w:rsidRDefault="00F36DDC">
            <w:pPr>
              <w:jc w:val="both"/>
              <w:rPr>
                <w:lang w:val="en-GB"/>
              </w:rPr>
            </w:pP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7D76A2" w:rsidRDefault="00F36DDC">
            <w:pPr>
              <w:jc w:val="both"/>
              <w:rPr>
                <w:lang w:val="en-US"/>
              </w:rPr>
            </w:pPr>
          </w:p>
        </w:tc>
      </w:tr>
      <w:tr w:rsidR="00F36DDC" w:rsidRPr="00187373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DC" w:rsidRPr="007D76A2" w:rsidRDefault="00F36DDC">
            <w:pPr>
              <w:jc w:val="both"/>
              <w:rPr>
                <w:lang w:val="en-US"/>
              </w:rPr>
            </w:pPr>
          </w:p>
        </w:tc>
      </w:tr>
    </w:tbl>
    <w:p w:rsidR="00F36DDC" w:rsidRPr="007D76A2" w:rsidRDefault="00F36DDC">
      <w:pPr>
        <w:rPr>
          <w:lang w:val="en-US"/>
        </w:rPr>
      </w:pPr>
    </w:p>
    <w:sectPr w:rsidR="00F36DDC" w:rsidRPr="007D76A2" w:rsidSect="007D76A2">
      <w:headerReference w:type="default" r:id="rId23"/>
      <w:pgSz w:w="13041" w:h="21546" w:code="9"/>
      <w:pgMar w:top="1208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DC" w:rsidRDefault="00F36DDC" w:rsidP="007D76A2">
      <w:r>
        <w:separator/>
      </w:r>
    </w:p>
  </w:endnote>
  <w:endnote w:type="continuationSeparator" w:id="0">
    <w:p w:rsidR="00F36DDC" w:rsidRDefault="00F36DDC" w:rsidP="007D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DC" w:rsidRDefault="00F36DDC" w:rsidP="007D76A2">
      <w:r>
        <w:separator/>
      </w:r>
    </w:p>
  </w:footnote>
  <w:footnote w:type="continuationSeparator" w:id="0">
    <w:p w:rsidR="00F36DDC" w:rsidRDefault="00F36DDC" w:rsidP="007D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DC" w:rsidRDefault="00F36DDC">
    <w:pPr>
      <w:pStyle w:val="Head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Eliamep logo" style="position:absolute;margin-left:-47.85pt;margin-top:-3.65pt;width:399.75pt;height:48.75pt;z-index:251660288;visibility:visible;mso-wrap-distance-left:0;mso-wrap-distance-right:0;mso-position-vertical-relative:line" o:allowoverlap="f">
          <v:imagedata r:id="rId1" o:title=""/>
          <w10:wrap type="square"/>
        </v:shape>
      </w:pict>
    </w:r>
  </w:p>
  <w:p w:rsidR="00F36DDC" w:rsidRDefault="00F36DDC">
    <w:pPr>
      <w:pStyle w:val="Header"/>
      <w:rPr>
        <w:lang w:val="en-US"/>
      </w:rPr>
    </w:pPr>
  </w:p>
  <w:p w:rsidR="00F36DDC" w:rsidRDefault="00F36DDC">
    <w:pPr>
      <w:pStyle w:val="Header"/>
      <w:rPr>
        <w:lang w:val="en-US"/>
      </w:rPr>
    </w:pPr>
  </w:p>
  <w:p w:rsidR="00F36DDC" w:rsidRPr="007D76A2" w:rsidRDefault="00F36DD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4EB"/>
    <w:multiLevelType w:val="multilevel"/>
    <w:tmpl w:val="A3B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22C0"/>
    <w:multiLevelType w:val="multilevel"/>
    <w:tmpl w:val="C2C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53269"/>
    <w:multiLevelType w:val="hybridMultilevel"/>
    <w:tmpl w:val="5A2496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66B47"/>
    <w:multiLevelType w:val="multilevel"/>
    <w:tmpl w:val="8D4A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816D3"/>
    <w:multiLevelType w:val="multilevel"/>
    <w:tmpl w:val="A9C0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821A63"/>
    <w:multiLevelType w:val="multilevel"/>
    <w:tmpl w:val="ECB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F45F3"/>
    <w:multiLevelType w:val="multilevel"/>
    <w:tmpl w:val="6604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91F57"/>
    <w:multiLevelType w:val="hybridMultilevel"/>
    <w:tmpl w:val="B56210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20A41"/>
    <w:multiLevelType w:val="multilevel"/>
    <w:tmpl w:val="29B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A2"/>
    <w:rsid w:val="00000D33"/>
    <w:rsid w:val="000240DD"/>
    <w:rsid w:val="000464AF"/>
    <w:rsid w:val="0007026F"/>
    <w:rsid w:val="00087776"/>
    <w:rsid w:val="00096668"/>
    <w:rsid w:val="00103B96"/>
    <w:rsid w:val="001755FD"/>
    <w:rsid w:val="00187373"/>
    <w:rsid w:val="0019647A"/>
    <w:rsid w:val="001C176A"/>
    <w:rsid w:val="001C6A2F"/>
    <w:rsid w:val="001D5314"/>
    <w:rsid w:val="001E7A55"/>
    <w:rsid w:val="001F0A87"/>
    <w:rsid w:val="00226729"/>
    <w:rsid w:val="0025538F"/>
    <w:rsid w:val="00255A72"/>
    <w:rsid w:val="00273DA9"/>
    <w:rsid w:val="00280360"/>
    <w:rsid w:val="002B69B8"/>
    <w:rsid w:val="002E39B1"/>
    <w:rsid w:val="002E6B23"/>
    <w:rsid w:val="003008F9"/>
    <w:rsid w:val="00361AF6"/>
    <w:rsid w:val="003E0096"/>
    <w:rsid w:val="0041042F"/>
    <w:rsid w:val="00425C1C"/>
    <w:rsid w:val="004A3D02"/>
    <w:rsid w:val="004B0B0A"/>
    <w:rsid w:val="004B78D7"/>
    <w:rsid w:val="004B7C9C"/>
    <w:rsid w:val="004F59ED"/>
    <w:rsid w:val="00537677"/>
    <w:rsid w:val="00543F45"/>
    <w:rsid w:val="00576C64"/>
    <w:rsid w:val="00594E8C"/>
    <w:rsid w:val="005E4C2B"/>
    <w:rsid w:val="00624B01"/>
    <w:rsid w:val="0064242D"/>
    <w:rsid w:val="00647E6C"/>
    <w:rsid w:val="00657726"/>
    <w:rsid w:val="0068499A"/>
    <w:rsid w:val="006D46E5"/>
    <w:rsid w:val="006E71AF"/>
    <w:rsid w:val="00715030"/>
    <w:rsid w:val="00724FEA"/>
    <w:rsid w:val="007566CB"/>
    <w:rsid w:val="00786FD1"/>
    <w:rsid w:val="007A5183"/>
    <w:rsid w:val="007C111A"/>
    <w:rsid w:val="007D76A2"/>
    <w:rsid w:val="008008E0"/>
    <w:rsid w:val="0081235A"/>
    <w:rsid w:val="008A7B21"/>
    <w:rsid w:val="008A7FAA"/>
    <w:rsid w:val="008B45AE"/>
    <w:rsid w:val="008B71A8"/>
    <w:rsid w:val="008C244D"/>
    <w:rsid w:val="008C4ADA"/>
    <w:rsid w:val="008C7926"/>
    <w:rsid w:val="008D4FBB"/>
    <w:rsid w:val="008E546E"/>
    <w:rsid w:val="008E61E5"/>
    <w:rsid w:val="00913AD6"/>
    <w:rsid w:val="009324EE"/>
    <w:rsid w:val="00940CD0"/>
    <w:rsid w:val="00956F74"/>
    <w:rsid w:val="00960E5B"/>
    <w:rsid w:val="009611C7"/>
    <w:rsid w:val="00996D5C"/>
    <w:rsid w:val="009C4990"/>
    <w:rsid w:val="009D4CB2"/>
    <w:rsid w:val="009E660B"/>
    <w:rsid w:val="00A037B6"/>
    <w:rsid w:val="00A06587"/>
    <w:rsid w:val="00A07F45"/>
    <w:rsid w:val="00A22705"/>
    <w:rsid w:val="00A41EAB"/>
    <w:rsid w:val="00AB3941"/>
    <w:rsid w:val="00B13A92"/>
    <w:rsid w:val="00B40FFB"/>
    <w:rsid w:val="00B670A8"/>
    <w:rsid w:val="00B76F22"/>
    <w:rsid w:val="00B772A4"/>
    <w:rsid w:val="00BA322E"/>
    <w:rsid w:val="00BC7942"/>
    <w:rsid w:val="00BE7845"/>
    <w:rsid w:val="00C033BE"/>
    <w:rsid w:val="00C11BBE"/>
    <w:rsid w:val="00C251B0"/>
    <w:rsid w:val="00C716E4"/>
    <w:rsid w:val="00C75663"/>
    <w:rsid w:val="00CA2E5D"/>
    <w:rsid w:val="00CA3956"/>
    <w:rsid w:val="00CE09A2"/>
    <w:rsid w:val="00D44BA0"/>
    <w:rsid w:val="00D55BD2"/>
    <w:rsid w:val="00D85CF9"/>
    <w:rsid w:val="00D872F5"/>
    <w:rsid w:val="00DF6790"/>
    <w:rsid w:val="00E3323E"/>
    <w:rsid w:val="00E602A6"/>
    <w:rsid w:val="00E66157"/>
    <w:rsid w:val="00E759EB"/>
    <w:rsid w:val="00E97E6C"/>
    <w:rsid w:val="00EF25C5"/>
    <w:rsid w:val="00F15DEE"/>
    <w:rsid w:val="00F34FA4"/>
    <w:rsid w:val="00F36DDC"/>
    <w:rsid w:val="00FA5E0F"/>
    <w:rsid w:val="00FC04A0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76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76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6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7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76A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E7A5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amep.gr/?p=17496" TargetMode="External"/><Relationship Id="rId13" Type="http://schemas.openxmlformats.org/officeDocument/2006/relationships/hyperlink" Target="http://www.eliamep.gr/?p=17822" TargetMode="External"/><Relationship Id="rId18" Type="http://schemas.openxmlformats.org/officeDocument/2006/relationships/hyperlink" Target="mailto:migration@eliamep.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profile.php?id=100001807705431" TargetMode="External"/><Relationship Id="rId7" Type="http://schemas.openxmlformats.org/officeDocument/2006/relationships/hyperlink" Target="http://www.eliamep.gr/?p=17671" TargetMode="External"/><Relationship Id="rId12" Type="http://schemas.openxmlformats.org/officeDocument/2006/relationships/hyperlink" Target="http://www.eliamep.gr/?p=17635" TargetMode="External"/><Relationship Id="rId17" Type="http://schemas.openxmlformats.org/officeDocument/2006/relationships/hyperlink" Target="mailto:see_programme@eliamep.g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crisisobs.gr" TargetMode="External"/><Relationship Id="rId20" Type="http://schemas.openxmlformats.org/officeDocument/2006/relationships/hyperlink" Target="http://www.eliamep.g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cambridge.org/action/displayAbstract?fromPage=online&amp;aid=895567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risisobs.gr/en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ukcatalogue.oup.com/product/9780199674510.do" TargetMode="External"/><Relationship Id="rId19" Type="http://schemas.openxmlformats.org/officeDocument/2006/relationships/hyperlink" Target="mailto:venetis@eliame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ppublishing.com/book/9780748670574" TargetMode="External"/><Relationship Id="rId14" Type="http://schemas.openxmlformats.org/officeDocument/2006/relationships/hyperlink" Target="http://www.eliamep.gr/?p=17785" TargetMode="External"/><Relationship Id="rId22" Type="http://schemas.openxmlformats.org/officeDocument/2006/relationships/hyperlink" Target="https://twitt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547</Words>
  <Characters>2960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Flash</dc:title>
  <dc:subject/>
  <dc:creator>Nina NP. Papaioannou</dc:creator>
  <cp:keywords/>
  <dc:description/>
  <cp:lastModifiedBy>anyuser</cp:lastModifiedBy>
  <cp:revision>13</cp:revision>
  <cp:lastPrinted>2013-06-27T07:14:00Z</cp:lastPrinted>
  <dcterms:created xsi:type="dcterms:W3CDTF">2013-10-10T08:01:00Z</dcterms:created>
  <dcterms:modified xsi:type="dcterms:W3CDTF">2013-10-18T07:33:00Z</dcterms:modified>
</cp:coreProperties>
</file>